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DB03B9" w:rsidRPr="002B5A5D" w:rsidRDefault="00694CED" w:rsidP="004E3EB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IFB#PP06/GEP/CW/CB/04</w:t>
      </w:r>
    </w:p>
    <w:p w:rsidR="004E3EB4" w:rsidRPr="002B5A5D" w:rsidRDefault="004E3EB4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2B5A5D">
        <w:rPr>
          <w:b/>
          <w:bCs/>
          <w:sz w:val="22"/>
          <w:szCs w:val="22"/>
        </w:rPr>
        <w:t xml:space="preserve">2015 </w:t>
      </w:r>
      <w:r w:rsidRPr="002B5A5D">
        <w:rPr>
          <w:rFonts w:ascii="Sylfaen" w:hAnsi="Sylfaen" w:cs="Sylfaen"/>
          <w:b/>
          <w:bCs/>
          <w:sz w:val="22"/>
          <w:szCs w:val="22"/>
        </w:rPr>
        <w:t>წლის</w:t>
      </w:r>
      <w:r w:rsidRPr="002B5A5D">
        <w:rPr>
          <w:b/>
          <w:bCs/>
          <w:sz w:val="22"/>
          <w:szCs w:val="22"/>
        </w:rPr>
        <w:t xml:space="preserve"> </w:t>
      </w:r>
      <w:r w:rsidRPr="002B5A5D">
        <w:rPr>
          <w:rFonts w:ascii="Sylfaen" w:hAnsi="Sylfaen" w:cs="Sylfaen"/>
          <w:b/>
          <w:bCs/>
          <w:sz w:val="22"/>
          <w:szCs w:val="22"/>
        </w:rPr>
        <w:t>ფაზის</w:t>
      </w:r>
      <w:r w:rsidRPr="002B5A5D">
        <w:rPr>
          <w:b/>
          <w:bCs/>
          <w:sz w:val="22"/>
          <w:szCs w:val="22"/>
        </w:rPr>
        <w:t xml:space="preserve"> </w:t>
      </w:r>
      <w:r w:rsidRPr="002B5A5D">
        <w:rPr>
          <w:rFonts w:ascii="Sylfaen" w:hAnsi="Sylfaen" w:cs="Sylfaen"/>
          <w:b/>
          <w:bCs/>
          <w:sz w:val="22"/>
          <w:szCs w:val="22"/>
        </w:rPr>
        <w:t>სკოლების</w:t>
      </w:r>
      <w:r w:rsidRPr="002B5A5D">
        <w:rPr>
          <w:b/>
          <w:bCs/>
          <w:sz w:val="22"/>
          <w:szCs w:val="22"/>
        </w:rPr>
        <w:t xml:space="preserve"> </w:t>
      </w:r>
      <w:r w:rsidRPr="002B5A5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r w:rsidRPr="002B5A5D">
        <w:rPr>
          <w:b/>
          <w:bCs/>
          <w:sz w:val="22"/>
          <w:szCs w:val="22"/>
        </w:rPr>
        <w:t xml:space="preserve"> </w:t>
      </w:r>
      <w:r w:rsidRPr="002B5A5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Pr="002B5A5D">
        <w:rPr>
          <w:b/>
          <w:bCs/>
          <w:sz w:val="22"/>
          <w:szCs w:val="22"/>
        </w:rPr>
        <w:t xml:space="preserve">  </w:t>
      </w:r>
      <w:r w:rsidRPr="002B5A5D">
        <w:rPr>
          <w:rFonts w:ascii="Sylfaen" w:hAnsi="Sylfaen" w:cs="Sylfaen"/>
          <w:b/>
          <w:bCs/>
          <w:sz w:val="22"/>
          <w:szCs w:val="22"/>
        </w:rPr>
        <w:t>შესყიდვა</w:t>
      </w:r>
    </w:p>
    <w:p w:rsidR="00DB03B9" w:rsidRPr="002B5A5D" w:rsidRDefault="00DB03B9" w:rsidP="004E3EB4">
      <w:pPr>
        <w:ind w:left="993" w:hanging="993"/>
        <w:jc w:val="center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b/>
          <w:sz w:val="22"/>
          <w:szCs w:val="22"/>
          <w:lang w:val="ka-GE"/>
        </w:rPr>
        <w:t xml:space="preserve">LOT #1 – </w:t>
      </w:r>
      <w:r w:rsidR="00694CED">
        <w:rPr>
          <w:rFonts w:ascii="Sylfaen" w:hAnsi="Sylfaen"/>
          <w:b/>
          <w:sz w:val="22"/>
          <w:szCs w:val="22"/>
          <w:lang w:val="ka-GE"/>
        </w:rPr>
        <w:t>სკრ</w:t>
      </w:r>
      <w:r w:rsidR="0003093C">
        <w:rPr>
          <w:rFonts w:ascii="Sylfaen" w:hAnsi="Sylfaen"/>
          <w:b/>
          <w:sz w:val="22"/>
          <w:szCs w:val="22"/>
          <w:lang w:val="ka-GE"/>
        </w:rPr>
        <w:t>ი</w:t>
      </w:r>
      <w:r w:rsidR="00694CED">
        <w:rPr>
          <w:rFonts w:ascii="Sylfaen" w:hAnsi="Sylfaen"/>
          <w:b/>
          <w:sz w:val="22"/>
          <w:szCs w:val="22"/>
          <w:lang w:val="ka-GE"/>
        </w:rPr>
        <w:t>ს, ტყვიავისა და ოკამის</w:t>
      </w:r>
      <w:r w:rsidR="004E3EB4" w:rsidRPr="002B5A5D">
        <w:rPr>
          <w:rFonts w:ascii="Sylfaen" w:hAnsi="Sylfaen"/>
          <w:b/>
          <w:sz w:val="22"/>
          <w:szCs w:val="22"/>
          <w:lang w:val="ka-GE"/>
        </w:rPr>
        <w:t xml:space="preserve"> საჯარო სკოლები;</w:t>
      </w:r>
    </w:p>
    <w:p w:rsidR="00DB03B9" w:rsidRPr="002B5A5D" w:rsidRDefault="00DB03B9" w:rsidP="004E3EB4">
      <w:pPr>
        <w:ind w:left="993" w:hanging="993"/>
        <w:jc w:val="center"/>
        <w:rPr>
          <w:b/>
          <w:sz w:val="22"/>
          <w:szCs w:val="22"/>
          <w:lang w:val="ka-GE"/>
        </w:rPr>
      </w:pPr>
      <w:r w:rsidRPr="002B5A5D">
        <w:rPr>
          <w:b/>
          <w:sz w:val="22"/>
          <w:szCs w:val="22"/>
          <w:lang w:val="ka-GE"/>
        </w:rPr>
        <w:t>LOT #2 –</w:t>
      </w:r>
      <w:r w:rsidR="00694CED">
        <w:rPr>
          <w:rFonts w:ascii="Sylfaen" w:hAnsi="Sylfaen"/>
          <w:b/>
          <w:sz w:val="22"/>
          <w:szCs w:val="22"/>
          <w:lang w:val="ka-GE"/>
        </w:rPr>
        <w:t xml:space="preserve">გორის #5, ტინისხიდის, ფხვენისის და ხიდისთავის </w:t>
      </w:r>
      <w:r w:rsidR="004E3EB4" w:rsidRPr="002B5A5D">
        <w:rPr>
          <w:rFonts w:ascii="Sylfaen" w:hAnsi="Sylfaen"/>
          <w:b/>
          <w:sz w:val="22"/>
          <w:szCs w:val="22"/>
          <w:lang w:val="ka-GE"/>
        </w:rPr>
        <w:t>საჯარო სკოლები;</w:t>
      </w:r>
    </w:p>
    <w:p w:rsidR="00DB03B9" w:rsidRPr="002B5A5D" w:rsidRDefault="00DB03B9" w:rsidP="00DB03B9">
      <w:pPr>
        <w:rPr>
          <w:sz w:val="22"/>
          <w:szCs w:val="22"/>
          <w:lang w:val="ka-GE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10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Pr="002B5A5D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2015 წლის ფაზის სკოლების სარეაბილიტაციო სამუშაოების  შესყიდვასთან დაკავშირებით (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LOT #1 – </w:t>
      </w:r>
      <w:r w:rsidR="00694CED" w:rsidRPr="002B5A5D">
        <w:rPr>
          <w:b/>
          <w:sz w:val="22"/>
          <w:szCs w:val="22"/>
          <w:lang w:val="ka-GE"/>
        </w:rPr>
        <w:t xml:space="preserve">– </w:t>
      </w:r>
      <w:r w:rsidR="00694CED">
        <w:rPr>
          <w:rFonts w:ascii="Sylfaen" w:hAnsi="Sylfaen"/>
          <w:b/>
          <w:sz w:val="22"/>
          <w:szCs w:val="22"/>
          <w:lang w:val="ka-GE"/>
        </w:rPr>
        <w:t>სკრ</w:t>
      </w:r>
      <w:r w:rsidR="0003093C">
        <w:rPr>
          <w:rFonts w:ascii="Sylfaen" w:hAnsi="Sylfaen"/>
          <w:b/>
          <w:sz w:val="22"/>
          <w:szCs w:val="22"/>
          <w:lang w:val="ka-GE"/>
        </w:rPr>
        <w:t>ი</w:t>
      </w:r>
      <w:r w:rsidR="00694CED">
        <w:rPr>
          <w:rFonts w:ascii="Sylfaen" w:hAnsi="Sylfaen"/>
          <w:b/>
          <w:sz w:val="22"/>
          <w:szCs w:val="22"/>
          <w:lang w:val="ka-GE"/>
        </w:rPr>
        <w:t>ს, ტყვიავისა და ოკამის</w:t>
      </w:r>
      <w:r w:rsidR="00694CED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საჯარო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სკოლები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; LOT #2 – </w:t>
      </w:r>
      <w:r w:rsidR="00694CED" w:rsidRPr="002B5A5D">
        <w:rPr>
          <w:b/>
          <w:sz w:val="22"/>
          <w:szCs w:val="22"/>
          <w:lang w:val="ka-GE"/>
        </w:rPr>
        <w:t>–</w:t>
      </w:r>
      <w:r w:rsidR="00694CED">
        <w:rPr>
          <w:rFonts w:ascii="Sylfaen" w:hAnsi="Sylfaen"/>
          <w:b/>
          <w:sz w:val="22"/>
          <w:szCs w:val="22"/>
          <w:lang w:val="ka-GE"/>
        </w:rPr>
        <w:t xml:space="preserve">გორის #5, ტინისხიდის, ფხვენისის და ხიდისთავის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საჯარო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 w:cs="Sylfaen"/>
          <w:b/>
          <w:sz w:val="22"/>
          <w:szCs w:val="22"/>
          <w:lang w:val="ka-GE"/>
        </w:rPr>
        <w:t>სკოლები</w:t>
      </w:r>
      <w:r w:rsidR="005E44C5" w:rsidRPr="002B5A5D">
        <w:rPr>
          <w:rFonts w:ascii="Sylfaen" w:hAnsi="Sylfaen"/>
          <w:b/>
          <w:sz w:val="22"/>
          <w:szCs w:val="22"/>
          <w:lang w:val="ka-GE"/>
        </w:rPr>
        <w:t>;).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5A004D" w:rsidRPr="002B5A5D" w:rsidRDefault="00002193" w:rsidP="00002193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საქართველო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 რომელიც შესაძლებელია ნახოთ </w:t>
      </w:r>
      <w:r w:rsidR="009E3CDC" w:rsidRPr="002B5A5D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1" w:history="1">
        <w:r w:rsidRPr="002B5A5D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2B5A5D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2B5A5D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9E3CDC" w:rsidRPr="002B5A5D" w:rsidRDefault="009E3CDC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 w:rsidRPr="002B5A5D">
        <w:rPr>
          <w:rFonts w:ascii="Sylfaen" w:hAnsi="Sylfaen" w:cs="Sylfaen"/>
          <w:sz w:val="22"/>
          <w:szCs w:val="22"/>
          <w:lang w:val="ka-GE"/>
        </w:rPr>
        <w:t>საჯარო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 xml:space="preserve">სკოლების დათვალიერება </w:t>
      </w:r>
      <w:r w:rsidR="00AD2248" w:rsidRPr="002B5A5D">
        <w:rPr>
          <w:rFonts w:ascii="Sylfaen" w:hAnsi="Sylfaen" w:cs="Sylfaen"/>
          <w:sz w:val="22"/>
          <w:szCs w:val="22"/>
          <w:lang w:val="ka-GE"/>
        </w:rPr>
        <w:t xml:space="preserve">გაიმართება 2015 წლის </w:t>
      </w:r>
      <w:r w:rsidR="00F570B7">
        <w:rPr>
          <w:rFonts w:ascii="Sylfaen" w:hAnsi="Sylfaen" w:cs="Sylfaen"/>
          <w:sz w:val="22"/>
          <w:szCs w:val="22"/>
          <w:lang w:val="ka-GE"/>
        </w:rPr>
        <w:t>21</w:t>
      </w:r>
      <w:r w:rsidR="00AD2248" w:rsidRPr="002B5A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94CED">
        <w:rPr>
          <w:rFonts w:ascii="Sylfaen" w:hAnsi="Sylfaen" w:cs="Sylfaen"/>
          <w:sz w:val="22"/>
          <w:szCs w:val="22"/>
          <w:lang w:val="ka-GE"/>
        </w:rPr>
        <w:t>აგვისტო</w:t>
      </w:r>
      <w:r w:rsidR="00AD2248" w:rsidRPr="002B5A5D">
        <w:rPr>
          <w:rFonts w:ascii="Sylfaen" w:hAnsi="Sylfaen" w:cs="Sylfaen"/>
          <w:sz w:val="22"/>
          <w:szCs w:val="22"/>
          <w:lang w:val="ka-GE"/>
        </w:rPr>
        <w:t xml:space="preserve">სს დილის 9:30 საათზე. შეკრების ადგილი: 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 w:cs="Sylfaen"/>
          <w:sz w:val="22"/>
          <w:szCs w:val="22"/>
          <w:lang w:val="ka-GE"/>
        </w:rPr>
        <w:t xml:space="preserve">საქართველოს განათლებისა და მეცნიერების სამინისტო </w:t>
      </w:r>
    </w:p>
    <w:p w:rsidR="009E3CDC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დ. უზნაძის 52, თბილისი 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საქართველო 0102</w:t>
      </w:r>
    </w:p>
    <w:p w:rsidR="00A826CC" w:rsidRPr="007B7B30" w:rsidRDefault="00A826CC" w:rsidP="00A826CC">
      <w:pPr>
        <w:pStyle w:val="SimpleList"/>
        <w:numPr>
          <w:ilvl w:val="0"/>
          <w:numId w:val="0"/>
        </w:numPr>
        <w:spacing w:after="60"/>
        <w:rPr>
          <w:sz w:val="22"/>
          <w:szCs w:val="22"/>
          <w:lang w:val="ka-GE"/>
        </w:rPr>
      </w:pPr>
    </w:p>
    <w:p w:rsidR="00DB03B9" w:rsidRPr="002B5A5D" w:rsidRDefault="00AD2248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გაერთიანებული წინასატენდერო შეხვედრა გაიმართება 2015 წლის 2</w:t>
      </w:r>
      <w:r w:rsidR="00F570B7">
        <w:rPr>
          <w:rFonts w:ascii="Sylfaen" w:hAnsi="Sylfaen"/>
          <w:sz w:val="22"/>
          <w:szCs w:val="22"/>
          <w:lang w:val="ka-GE"/>
        </w:rPr>
        <w:t>4</w:t>
      </w:r>
      <w:r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694CED">
        <w:rPr>
          <w:rFonts w:ascii="Sylfaen" w:hAnsi="Sylfaen"/>
          <w:sz w:val="22"/>
          <w:szCs w:val="22"/>
          <w:lang w:val="ka-GE"/>
        </w:rPr>
        <w:t>აგვისტოს</w:t>
      </w:r>
      <w:r w:rsidRPr="002B5A5D">
        <w:rPr>
          <w:rFonts w:ascii="Sylfaen" w:hAnsi="Sylfaen"/>
          <w:sz w:val="22"/>
          <w:szCs w:val="22"/>
          <w:lang w:val="ka-GE"/>
        </w:rPr>
        <w:t xml:space="preserve"> დილის 11:00 საათზე შემდეგ მისამართზე: </w:t>
      </w:r>
    </w:p>
    <w:p w:rsidR="00AD2248" w:rsidRPr="002B5A5D" w:rsidRDefault="00AD2248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AD2248" w:rsidRPr="00B05965" w:rsidRDefault="00AD2248" w:rsidP="00AD2248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b/>
          <w:sz w:val="22"/>
          <w:szCs w:val="22"/>
          <w:lang w:val="ka-GE"/>
        </w:rPr>
      </w:pPr>
      <w:r w:rsidRPr="00B05965">
        <w:rPr>
          <w:rFonts w:ascii="Sylfaen" w:hAnsi="Sylfaen"/>
          <w:b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AD2248" w:rsidRPr="00B05965" w:rsidRDefault="00B05965" w:rsidP="00AD2248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b/>
          <w:sz w:val="22"/>
          <w:szCs w:val="22"/>
          <w:lang w:val="ka-GE"/>
        </w:rPr>
      </w:pPr>
      <w:r w:rsidRPr="00B05965">
        <w:rPr>
          <w:rFonts w:ascii="Sylfaen" w:hAnsi="Sylfaen"/>
          <w:b/>
          <w:sz w:val="22"/>
          <w:szCs w:val="22"/>
          <w:lang w:val="ka-GE"/>
        </w:rPr>
        <w:t>მ. კოსტავას 5</w:t>
      </w:r>
      <w:r w:rsidR="00AD2248" w:rsidRPr="00B05965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B05965">
        <w:rPr>
          <w:rFonts w:ascii="Sylfaen" w:hAnsi="Sylfaen"/>
          <w:b/>
          <w:sz w:val="22"/>
          <w:szCs w:val="22"/>
          <w:lang w:val="ka-GE"/>
        </w:rPr>
        <w:t xml:space="preserve">მე–4 სართული, </w:t>
      </w:r>
      <w:r w:rsidR="00AD2248" w:rsidRPr="00B05965">
        <w:rPr>
          <w:rFonts w:ascii="Sylfaen" w:hAnsi="Sylfaen"/>
          <w:b/>
          <w:sz w:val="22"/>
          <w:szCs w:val="22"/>
          <w:lang w:val="ka-GE"/>
        </w:rPr>
        <w:t xml:space="preserve">თბილისი </w:t>
      </w:r>
    </w:p>
    <w:p w:rsidR="00AD2248" w:rsidRPr="00B05965" w:rsidRDefault="00AD2248" w:rsidP="00AD2248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b/>
          <w:sz w:val="22"/>
          <w:szCs w:val="22"/>
          <w:lang w:val="ka-GE"/>
        </w:rPr>
      </w:pPr>
      <w:r w:rsidRPr="00B05965">
        <w:rPr>
          <w:rFonts w:ascii="Sylfaen" w:hAnsi="Sylfaen"/>
          <w:b/>
          <w:sz w:val="22"/>
          <w:szCs w:val="22"/>
          <w:lang w:val="ka-GE"/>
        </w:rPr>
        <w:t>საქართველო 010</w:t>
      </w:r>
      <w:r w:rsidR="00B05965" w:rsidRPr="00B05965">
        <w:rPr>
          <w:rFonts w:ascii="Sylfaen" w:hAnsi="Sylfaen"/>
          <w:b/>
          <w:sz w:val="22"/>
          <w:szCs w:val="22"/>
          <w:lang w:val="ka-GE"/>
        </w:rPr>
        <w:t>8</w:t>
      </w:r>
    </w:p>
    <w:p w:rsidR="00AD2248" w:rsidRPr="002B5A5D" w:rsidRDefault="00AD2248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 3:00 საათისა, საქართველოს დროით</w:t>
      </w:r>
      <w:r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B7B30">
        <w:rPr>
          <w:sz w:val="22"/>
          <w:szCs w:val="22"/>
          <w:lang w:val="ka-GE"/>
        </w:rPr>
        <w:t>(GM</w:t>
      </w:r>
      <w:r w:rsidRPr="007B7B30">
        <w:rPr>
          <w:rFonts w:ascii="Sylfaen" w:hAnsi="Sylfaen"/>
          <w:sz w:val="22"/>
          <w:szCs w:val="22"/>
          <w:lang w:val="ka-GE"/>
        </w:rPr>
        <w:t>T</w:t>
      </w:r>
      <w:r w:rsidRPr="007B7B30">
        <w:rPr>
          <w:sz w:val="22"/>
          <w:szCs w:val="22"/>
          <w:lang w:val="ka-GE"/>
        </w:rPr>
        <w:t xml:space="preserve">+4) </w:t>
      </w:r>
      <w:r w:rsidR="00382B36" w:rsidRPr="007B7B30">
        <w:rPr>
          <w:b/>
          <w:sz w:val="22"/>
          <w:szCs w:val="22"/>
          <w:lang w:val="ka-GE"/>
        </w:rPr>
        <w:t xml:space="preserve">2015 </w:t>
      </w:r>
      <w:r w:rsidR="00382B36" w:rsidRPr="002B5A5D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F570B7">
        <w:rPr>
          <w:rFonts w:ascii="Sylfaen" w:hAnsi="Sylfaen"/>
          <w:b/>
          <w:sz w:val="22"/>
          <w:szCs w:val="22"/>
          <w:lang w:val="ka-GE"/>
        </w:rPr>
        <w:t>7 სექტემბერს</w:t>
      </w:r>
      <w:bookmarkStart w:id="0" w:name="_GoBack"/>
      <w:bookmarkEnd w:id="0"/>
      <w:r w:rsidR="00382B36" w:rsidRPr="002B5A5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იგივე დროს, 2015 წლის </w:t>
      </w:r>
      <w:r w:rsidR="0071435D">
        <w:rPr>
          <w:rFonts w:ascii="Sylfaen" w:hAnsi="Sylfaen"/>
          <w:sz w:val="22"/>
          <w:szCs w:val="22"/>
          <w:lang w:val="ka-GE"/>
        </w:rPr>
        <w:t>31</w:t>
      </w:r>
      <w:r w:rsidRPr="002B5A5D">
        <w:rPr>
          <w:rFonts w:ascii="Sylfaen" w:hAnsi="Sylfaen"/>
          <w:sz w:val="22"/>
          <w:szCs w:val="22"/>
          <w:lang w:val="ka-GE"/>
        </w:rPr>
        <w:t xml:space="preserve"> აგვისტოს 3:00 საათზე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2B5A5D" w:rsidRPr="002B5A5D">
        <w:rPr>
          <w:rFonts w:ascii="Sylfaen" w:hAnsi="Sylfaen"/>
          <w:sz w:val="22"/>
          <w:szCs w:val="22"/>
          <w:lang w:val="ka-GE"/>
        </w:rPr>
        <w:t>ამ დროის გასვლის შემდეგ მიღებული სატენდერო დოკუმენტაცია არ მიიღება და გაუხსნელად დაუბრუნდება გამომგზავნ კომპანიას.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7B7B30" w:rsidRPr="006C3285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2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               Cc: </w:t>
      </w:r>
      <w:hyperlink r:id="rId13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nramishvili@mcageorgia.ge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CE" w:rsidRDefault="00CC19CE" w:rsidP="00DB03B9">
      <w:r>
        <w:separator/>
      </w:r>
    </w:p>
  </w:endnote>
  <w:endnote w:type="continuationSeparator" w:id="0">
    <w:p w:rsidR="00CC19CE" w:rsidRDefault="00CC19CE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CE" w:rsidRDefault="00CC19CE" w:rsidP="00DB03B9">
      <w:r>
        <w:separator/>
      </w:r>
    </w:p>
  </w:footnote>
  <w:footnote w:type="continuationSeparator" w:id="0">
    <w:p w:rsidR="00CC19CE" w:rsidRDefault="00CC19CE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9"/>
    <w:rsid w:val="00002193"/>
    <w:rsid w:val="0003093C"/>
    <w:rsid w:val="002B5A5D"/>
    <w:rsid w:val="00382B36"/>
    <w:rsid w:val="003B3670"/>
    <w:rsid w:val="00496DB5"/>
    <w:rsid w:val="004E3EB4"/>
    <w:rsid w:val="00563B67"/>
    <w:rsid w:val="005A004D"/>
    <w:rsid w:val="005E44C5"/>
    <w:rsid w:val="00645B53"/>
    <w:rsid w:val="00694CED"/>
    <w:rsid w:val="0071435D"/>
    <w:rsid w:val="007B7B30"/>
    <w:rsid w:val="007F1B7F"/>
    <w:rsid w:val="008575B0"/>
    <w:rsid w:val="009E3CDC"/>
    <w:rsid w:val="00A13D32"/>
    <w:rsid w:val="00A826CC"/>
    <w:rsid w:val="00AD2248"/>
    <w:rsid w:val="00B05965"/>
    <w:rsid w:val="00BD06C0"/>
    <w:rsid w:val="00C607E4"/>
    <w:rsid w:val="00C95214"/>
    <w:rsid w:val="00CC19CE"/>
    <w:rsid w:val="00D32F73"/>
    <w:rsid w:val="00D62B5E"/>
    <w:rsid w:val="00DB03B9"/>
    <w:rsid w:val="00E728CF"/>
    <w:rsid w:val="00F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ramishvili@mcageorgia.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curement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c.gov/pages/business/guideli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cageorgia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25B2-4991-4634-B7AB-9BD032E9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Keti Tateshvili </cp:lastModifiedBy>
  <cp:revision>19</cp:revision>
  <dcterms:created xsi:type="dcterms:W3CDTF">2015-07-09T08:37:00Z</dcterms:created>
  <dcterms:modified xsi:type="dcterms:W3CDTF">2015-08-18T08:50:00Z</dcterms:modified>
</cp:coreProperties>
</file>